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0FF14" w14:textId="17DB032B" w:rsidR="009A4C81" w:rsidRPr="00D70F8E" w:rsidRDefault="00D70F8E" w:rsidP="00D70F8E">
      <w:pPr>
        <w:spacing w:after="0" w:line="240" w:lineRule="auto"/>
        <w:rPr>
          <w:rFonts w:ascii="Arial" w:hAnsi="Arial" w:cs="Arial"/>
        </w:rPr>
      </w:pPr>
      <w:r w:rsidRPr="00D70F8E">
        <w:rPr>
          <w:rFonts w:ascii="Arial" w:hAnsi="Arial" w:cs="Arial"/>
          <w:noProof/>
          <w:color w:val="000000"/>
        </w:rPr>
        <w:drawing>
          <wp:inline distT="0" distB="0" distL="0" distR="0" wp14:anchorId="55771CE9" wp14:editId="478C5587">
            <wp:extent cx="2132215" cy="1347788"/>
            <wp:effectExtent l="0" t="0" r="1905" b="5080"/>
            <wp:docPr id="365734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37542" cy="1351155"/>
                    </a:xfrm>
                    <a:prstGeom prst="rect">
                      <a:avLst/>
                    </a:prstGeom>
                    <a:noFill/>
                    <a:ln>
                      <a:noFill/>
                    </a:ln>
                  </pic:spPr>
                </pic:pic>
              </a:graphicData>
            </a:graphic>
          </wp:inline>
        </w:drawing>
      </w:r>
    </w:p>
    <w:p w14:paraId="1FD1DC93" w14:textId="77777777" w:rsidR="00D70F8E" w:rsidRPr="00D70F8E" w:rsidRDefault="00D70F8E" w:rsidP="00D70F8E">
      <w:pPr>
        <w:spacing w:after="0" w:line="240" w:lineRule="auto"/>
        <w:rPr>
          <w:rFonts w:ascii="Arial" w:hAnsi="Arial" w:cs="Arial"/>
        </w:rPr>
      </w:pPr>
    </w:p>
    <w:p w14:paraId="1AF970BD" w14:textId="3ABE5EB4" w:rsidR="00D70F8E" w:rsidRPr="00D70F8E" w:rsidRDefault="00D70F8E" w:rsidP="00D70F8E">
      <w:pPr>
        <w:spacing w:after="120" w:line="360" w:lineRule="auto"/>
        <w:jc w:val="center"/>
        <w:rPr>
          <w:rFonts w:ascii="Arial" w:hAnsi="Arial" w:cs="Arial"/>
          <w:b/>
          <w:bCs/>
          <w:sz w:val="32"/>
          <w:szCs w:val="32"/>
        </w:rPr>
      </w:pPr>
      <w:r w:rsidRPr="00D70F8E">
        <w:rPr>
          <w:rFonts w:ascii="Arial" w:hAnsi="Arial" w:cs="Arial"/>
          <w:b/>
          <w:bCs/>
          <w:sz w:val="32"/>
          <w:szCs w:val="32"/>
        </w:rPr>
        <w:t>Chief Financial Officer</w:t>
      </w:r>
    </w:p>
    <w:p w14:paraId="75776D9C" w14:textId="34440020" w:rsidR="00D70F8E" w:rsidRPr="00D70F8E" w:rsidRDefault="00D70F8E" w:rsidP="00D70F8E">
      <w:pPr>
        <w:spacing w:after="120" w:line="360" w:lineRule="auto"/>
        <w:jc w:val="center"/>
        <w:rPr>
          <w:rFonts w:ascii="Arial" w:hAnsi="Arial" w:cs="Arial"/>
          <w:b/>
          <w:bCs/>
          <w:sz w:val="32"/>
          <w:szCs w:val="32"/>
        </w:rPr>
      </w:pPr>
      <w:r w:rsidRPr="00D70F8E">
        <w:rPr>
          <w:rFonts w:ascii="Arial" w:hAnsi="Arial" w:cs="Arial"/>
          <w:b/>
          <w:bCs/>
          <w:sz w:val="32"/>
          <w:szCs w:val="32"/>
        </w:rPr>
        <w:t>The Arc Prince George’s County</w:t>
      </w:r>
    </w:p>
    <w:p w14:paraId="01B4E0B4" w14:textId="015C95AF" w:rsidR="00D70F8E" w:rsidRPr="00D70F8E" w:rsidRDefault="00D70F8E" w:rsidP="00D70F8E">
      <w:pPr>
        <w:spacing w:after="120" w:line="360" w:lineRule="auto"/>
        <w:jc w:val="center"/>
        <w:rPr>
          <w:rFonts w:ascii="Arial" w:hAnsi="Arial" w:cs="Arial"/>
          <w:b/>
          <w:bCs/>
          <w:i/>
          <w:iCs/>
        </w:rPr>
      </w:pPr>
      <w:r w:rsidRPr="00D70F8E">
        <w:rPr>
          <w:rFonts w:ascii="Arial" w:hAnsi="Arial" w:cs="Arial"/>
          <w:b/>
          <w:bCs/>
          <w:i/>
          <w:iCs/>
        </w:rPr>
        <w:t>Largo, Maryland</w:t>
      </w:r>
      <w:r w:rsidR="00A66BB5">
        <w:rPr>
          <w:rFonts w:ascii="Arial" w:hAnsi="Arial" w:cs="Arial"/>
          <w:b/>
          <w:bCs/>
          <w:i/>
          <w:iCs/>
        </w:rPr>
        <w:t xml:space="preserve"> (hybrid)</w:t>
      </w:r>
    </w:p>
    <w:p w14:paraId="131D0394" w14:textId="77777777" w:rsidR="00D70F8E" w:rsidRPr="00D70F8E" w:rsidRDefault="00D70F8E" w:rsidP="00D70F8E">
      <w:pPr>
        <w:spacing w:after="0" w:line="240" w:lineRule="auto"/>
        <w:rPr>
          <w:rFonts w:ascii="Arial" w:hAnsi="Arial" w:cs="Arial"/>
        </w:rPr>
      </w:pPr>
    </w:p>
    <w:p w14:paraId="5B1F025C" w14:textId="13CC3A68" w:rsidR="00D70F8E" w:rsidRPr="00D70F8E" w:rsidRDefault="005E0F18" w:rsidP="00D70F8E">
      <w:pPr>
        <w:spacing w:after="0" w:line="240" w:lineRule="auto"/>
        <w:rPr>
          <w:rFonts w:ascii="Arial" w:hAnsi="Arial" w:cs="Arial"/>
        </w:rPr>
      </w:pPr>
      <w:hyperlink r:id="rId6" w:tgtFrame="_blank" w:history="1">
        <w:r w:rsidR="00D70F8E" w:rsidRPr="00D70F8E">
          <w:rPr>
            <w:rStyle w:val="Hyperlink"/>
            <w:rFonts w:ascii="Arial" w:hAnsi="Arial" w:cs="Arial"/>
          </w:rPr>
          <w:t>The Moran Company</w:t>
        </w:r>
      </w:hyperlink>
      <w:r w:rsidR="00D70F8E" w:rsidRPr="00D70F8E">
        <w:rPr>
          <w:rFonts w:ascii="Arial" w:hAnsi="Arial" w:cs="Arial"/>
        </w:rPr>
        <w:t xml:space="preserve"> is pleased to partner with </w:t>
      </w:r>
      <w:r w:rsidR="00D70F8E">
        <w:rPr>
          <w:rFonts w:ascii="Arial" w:hAnsi="Arial" w:cs="Arial"/>
        </w:rPr>
        <w:t>T</w:t>
      </w:r>
      <w:r w:rsidR="00D70F8E" w:rsidRPr="00D70F8E">
        <w:rPr>
          <w:rFonts w:ascii="Arial" w:hAnsi="Arial" w:cs="Arial"/>
        </w:rPr>
        <w:t xml:space="preserve">he Arc Prince George’s County to recruit the organization’s Chief Financial Officer. </w:t>
      </w:r>
    </w:p>
    <w:p w14:paraId="4E81CC9E" w14:textId="77777777" w:rsidR="00D70F8E" w:rsidRPr="00D70F8E" w:rsidRDefault="00D70F8E" w:rsidP="00D70F8E">
      <w:pPr>
        <w:spacing w:after="0" w:line="240" w:lineRule="auto"/>
        <w:rPr>
          <w:rFonts w:ascii="Arial" w:hAnsi="Arial" w:cs="Arial"/>
        </w:rPr>
      </w:pPr>
    </w:p>
    <w:p w14:paraId="6493AC60" w14:textId="7B38807C" w:rsidR="00D70F8E" w:rsidRPr="00D70F8E" w:rsidRDefault="00D70F8E" w:rsidP="00D70F8E">
      <w:pPr>
        <w:spacing w:after="0" w:line="240" w:lineRule="auto"/>
        <w:rPr>
          <w:rFonts w:ascii="Arial" w:hAnsi="Arial" w:cs="Arial"/>
        </w:rPr>
      </w:pPr>
      <w:r w:rsidRPr="00D70F8E">
        <w:rPr>
          <w:rFonts w:ascii="Arial" w:hAnsi="Arial" w:cs="Arial"/>
        </w:rPr>
        <w:t xml:space="preserve">Founded in 1952 by a dedicated group of parents, </w:t>
      </w:r>
      <w:hyperlink r:id="rId7" w:tgtFrame="_blank" w:history="1">
        <w:r w:rsidRPr="00D70F8E">
          <w:rPr>
            <w:rStyle w:val="Hyperlink"/>
            <w:rFonts w:ascii="Arial" w:hAnsi="Arial" w:cs="Arial"/>
          </w:rPr>
          <w:t>The Arc Prince George’s County</w:t>
        </w:r>
      </w:hyperlink>
      <w:r w:rsidRPr="00D70F8E">
        <w:rPr>
          <w:rFonts w:ascii="Arial" w:hAnsi="Arial" w:cs="Arial"/>
        </w:rPr>
        <w:t xml:space="preserve"> has been a cornerstone of support for people with intellectual and developmental disabilities (IDD) and their families for over 70 years.</w:t>
      </w:r>
      <w:r>
        <w:rPr>
          <w:rFonts w:ascii="Arial" w:hAnsi="Arial" w:cs="Arial"/>
        </w:rPr>
        <w:t xml:space="preserve"> </w:t>
      </w:r>
      <w:r w:rsidRPr="00D70F8E">
        <w:rPr>
          <w:rFonts w:ascii="Arial" w:hAnsi="Arial" w:cs="Arial"/>
        </w:rPr>
        <w:t>Located in Largo/Upper Marlboro, Maryland, The Arc is the largest developmental disability service provider in Prince George’s County, serving more than 5,000 individuals and family members annually.</w:t>
      </w:r>
      <w:r>
        <w:rPr>
          <w:rFonts w:ascii="Arial" w:hAnsi="Arial" w:cs="Arial"/>
        </w:rPr>
        <w:t xml:space="preserve"> </w:t>
      </w:r>
      <w:r w:rsidRPr="00D70F8E">
        <w:rPr>
          <w:rFonts w:ascii="Arial" w:hAnsi="Arial" w:cs="Arial"/>
        </w:rPr>
        <w:t>The organization protects human rights, promotes full community inclusion, and delivers lifelong support across the lifespan.</w:t>
      </w:r>
      <w:r>
        <w:rPr>
          <w:rFonts w:ascii="Arial" w:hAnsi="Arial" w:cs="Arial"/>
        </w:rPr>
        <w:t xml:space="preserve"> </w:t>
      </w:r>
    </w:p>
    <w:p w14:paraId="1048DD0F" w14:textId="77777777" w:rsidR="00D70F8E" w:rsidRPr="00D70F8E" w:rsidRDefault="00D70F8E" w:rsidP="00D70F8E">
      <w:pPr>
        <w:spacing w:after="0" w:line="240" w:lineRule="auto"/>
        <w:rPr>
          <w:rFonts w:ascii="Arial" w:hAnsi="Arial" w:cs="Arial"/>
        </w:rPr>
      </w:pPr>
    </w:p>
    <w:p w14:paraId="1E3C4C88" w14:textId="24550B3A" w:rsidR="00D70F8E" w:rsidRPr="00D70F8E" w:rsidRDefault="00D70F8E" w:rsidP="00D70F8E">
      <w:pPr>
        <w:spacing w:after="0" w:line="240" w:lineRule="auto"/>
        <w:rPr>
          <w:rFonts w:ascii="Arial" w:hAnsi="Arial" w:cs="Arial"/>
        </w:rPr>
      </w:pPr>
      <w:r w:rsidRPr="00D70F8E">
        <w:rPr>
          <w:rFonts w:ascii="Arial" w:hAnsi="Arial" w:cs="Arial"/>
        </w:rPr>
        <w:t xml:space="preserve">The Arc operates a multi-faceted service delivery model with an annual </w:t>
      </w:r>
      <w:r>
        <w:rPr>
          <w:rFonts w:ascii="Arial" w:hAnsi="Arial" w:cs="Arial"/>
        </w:rPr>
        <w:t>operating</w:t>
      </w:r>
      <w:r w:rsidRPr="00D70F8E">
        <w:rPr>
          <w:rFonts w:ascii="Arial" w:hAnsi="Arial" w:cs="Arial"/>
        </w:rPr>
        <w:t xml:space="preserve"> budget of $5</w:t>
      </w:r>
      <w:r w:rsidR="00B407D3">
        <w:rPr>
          <w:rFonts w:ascii="Arial" w:hAnsi="Arial" w:cs="Arial"/>
        </w:rPr>
        <w:t>4</w:t>
      </w:r>
      <w:r w:rsidRPr="00D70F8E">
        <w:rPr>
          <w:rFonts w:ascii="Arial" w:hAnsi="Arial" w:cs="Arial"/>
        </w:rPr>
        <w:t xml:space="preserve"> million.</w:t>
      </w:r>
      <w:r>
        <w:rPr>
          <w:rFonts w:ascii="Arial" w:hAnsi="Arial" w:cs="Arial"/>
        </w:rPr>
        <w:t xml:space="preserve"> </w:t>
      </w:r>
      <w:r w:rsidRPr="00D70F8E">
        <w:rPr>
          <w:rFonts w:ascii="Arial" w:hAnsi="Arial" w:cs="Arial"/>
        </w:rPr>
        <w:t>The organization maintains high service quality</w:t>
      </w:r>
      <w:r w:rsidR="0087366F">
        <w:rPr>
          <w:rFonts w:ascii="Arial" w:hAnsi="Arial" w:cs="Arial"/>
        </w:rPr>
        <w:t xml:space="preserve"> and has</w:t>
      </w:r>
      <w:r w:rsidRPr="00D70F8E">
        <w:rPr>
          <w:rFonts w:ascii="Arial" w:hAnsi="Arial" w:cs="Arial"/>
        </w:rPr>
        <w:t xml:space="preserve"> earned CARF’s highest internationally recognized accreditation.</w:t>
      </w:r>
      <w:r>
        <w:rPr>
          <w:rFonts w:ascii="Arial" w:hAnsi="Arial" w:cs="Arial"/>
        </w:rPr>
        <w:t xml:space="preserve"> </w:t>
      </w:r>
      <w:r w:rsidRPr="00D70F8E">
        <w:rPr>
          <w:rFonts w:ascii="Arial" w:hAnsi="Arial" w:cs="Arial"/>
        </w:rPr>
        <w:t>Comprehensive program offerings include Residential Services (managing over 30 residential properties), Meaningful Day Services, Employment Programs (including Project SEARCH), Community Personal Supports, Children &amp; Youth Services (Autism Waiver, Infants &amp; Toddlers, and SAMHSA-funded Project LIVE), and specialized Transportation (Wheels to Wellness).</w:t>
      </w:r>
      <w:r>
        <w:rPr>
          <w:rFonts w:ascii="Arial" w:hAnsi="Arial" w:cs="Arial"/>
        </w:rPr>
        <w:t xml:space="preserve"> </w:t>
      </w:r>
    </w:p>
    <w:p w14:paraId="05741C0D" w14:textId="77777777" w:rsidR="00D70F8E" w:rsidRPr="00D70F8E" w:rsidRDefault="00D70F8E" w:rsidP="00D70F8E">
      <w:pPr>
        <w:spacing w:after="0" w:line="240" w:lineRule="auto"/>
        <w:rPr>
          <w:rFonts w:ascii="Arial" w:hAnsi="Arial" w:cs="Arial"/>
        </w:rPr>
      </w:pPr>
    </w:p>
    <w:p w14:paraId="5264CD07" w14:textId="420DFA76" w:rsidR="00D70F8E" w:rsidRDefault="00D70F8E" w:rsidP="00D70F8E">
      <w:pPr>
        <w:spacing w:after="0" w:line="240" w:lineRule="auto"/>
        <w:rPr>
          <w:rFonts w:ascii="Arial" w:hAnsi="Arial" w:cs="Arial"/>
        </w:rPr>
      </w:pPr>
      <w:r w:rsidRPr="00D70F8E">
        <w:rPr>
          <w:rFonts w:ascii="Arial" w:hAnsi="Arial" w:cs="Arial"/>
        </w:rPr>
        <w:t>The Arc Prince George’s County seeks an experienced, strategic, and hands-on executive leader to serve as Chief Financial Officer.</w:t>
      </w:r>
      <w:r>
        <w:rPr>
          <w:rFonts w:ascii="Arial" w:hAnsi="Arial" w:cs="Arial"/>
        </w:rPr>
        <w:t xml:space="preserve"> </w:t>
      </w:r>
      <w:r w:rsidRPr="00D70F8E">
        <w:rPr>
          <w:rFonts w:ascii="Arial" w:hAnsi="Arial" w:cs="Arial"/>
        </w:rPr>
        <w:t>Reporting to the CEO and collaborating closely with the executive leadership team and Board, the CFO provides overall fiscal stewardship, executive oversight, and rigorous financial leadership to ensure long-term sustainability, regulatory compliance, and mission execution.</w:t>
      </w:r>
      <w:r>
        <w:rPr>
          <w:rFonts w:ascii="Arial" w:hAnsi="Arial" w:cs="Arial"/>
        </w:rPr>
        <w:t xml:space="preserve"> </w:t>
      </w:r>
    </w:p>
    <w:p w14:paraId="30F699D0" w14:textId="77777777" w:rsidR="00D70F8E" w:rsidRPr="00D70F8E" w:rsidRDefault="00D70F8E" w:rsidP="00D70F8E">
      <w:pPr>
        <w:spacing w:after="0" w:line="240" w:lineRule="auto"/>
        <w:rPr>
          <w:rFonts w:ascii="Arial" w:hAnsi="Arial" w:cs="Arial"/>
        </w:rPr>
      </w:pPr>
    </w:p>
    <w:p w14:paraId="001A6920" w14:textId="03EEDE0A" w:rsidR="00D70F8E" w:rsidRPr="00D70F8E" w:rsidRDefault="00D70F8E" w:rsidP="00D70F8E">
      <w:pPr>
        <w:spacing w:after="0" w:line="240" w:lineRule="auto"/>
        <w:rPr>
          <w:rFonts w:ascii="Arial" w:hAnsi="Arial" w:cs="Arial"/>
        </w:rPr>
      </w:pPr>
      <w:r w:rsidRPr="00D70F8E">
        <w:rPr>
          <w:rFonts w:ascii="Arial" w:hAnsi="Arial" w:cs="Arial"/>
        </w:rPr>
        <w:t>This is a true ‘working CFO’ position that bridges high-level financial strategy with direct, hands-on operations.</w:t>
      </w:r>
      <w:r>
        <w:rPr>
          <w:rFonts w:ascii="Arial" w:hAnsi="Arial" w:cs="Arial"/>
        </w:rPr>
        <w:t xml:space="preserve"> </w:t>
      </w:r>
      <w:r w:rsidRPr="00D70F8E">
        <w:rPr>
          <w:rFonts w:ascii="Arial" w:hAnsi="Arial" w:cs="Arial"/>
        </w:rPr>
        <w:t xml:space="preserve">The CFO leads an 8-member finance team while also managing </w:t>
      </w:r>
      <w:r w:rsidR="000B449D">
        <w:rPr>
          <w:rFonts w:ascii="Arial" w:hAnsi="Arial" w:cs="Arial"/>
        </w:rPr>
        <w:t>their</w:t>
      </w:r>
      <w:r w:rsidRPr="00D70F8E">
        <w:rPr>
          <w:rFonts w:ascii="Arial" w:hAnsi="Arial" w:cs="Arial"/>
        </w:rPr>
        <w:t xml:space="preserve"> own work projects and overseeing the organization’s very complex and challenging funding structures.</w:t>
      </w:r>
      <w:r>
        <w:rPr>
          <w:rFonts w:ascii="Arial" w:hAnsi="Arial" w:cs="Arial"/>
        </w:rPr>
        <w:t xml:space="preserve"> </w:t>
      </w:r>
      <w:r w:rsidRPr="00D70F8E">
        <w:rPr>
          <w:rFonts w:ascii="Arial" w:hAnsi="Arial" w:cs="Arial"/>
        </w:rPr>
        <w:t xml:space="preserve">More than 85% of The Arc’s annual revenue comes from federal and state funding via a </w:t>
      </w:r>
      <w:r w:rsidR="000B449D">
        <w:rPr>
          <w:rFonts w:ascii="Arial" w:hAnsi="Arial" w:cs="Arial"/>
        </w:rPr>
        <w:t>third-party</w:t>
      </w:r>
      <w:r w:rsidRPr="00D70F8E">
        <w:rPr>
          <w:rFonts w:ascii="Arial" w:hAnsi="Arial" w:cs="Arial"/>
        </w:rPr>
        <w:t xml:space="preserve"> operator.</w:t>
      </w:r>
      <w:r>
        <w:rPr>
          <w:rFonts w:ascii="Arial" w:hAnsi="Arial" w:cs="Arial"/>
        </w:rPr>
        <w:t xml:space="preserve"> </w:t>
      </w:r>
      <w:r w:rsidRPr="00D70F8E">
        <w:rPr>
          <w:rFonts w:ascii="Arial" w:hAnsi="Arial" w:cs="Arial"/>
        </w:rPr>
        <w:t>This requires significant knowledge of the funding rules and mechanisms associated with IDD care and services. The CFO also oversees the IT Department and manages one IT professional.</w:t>
      </w:r>
      <w:r>
        <w:rPr>
          <w:rFonts w:ascii="Arial" w:hAnsi="Arial" w:cs="Arial"/>
        </w:rPr>
        <w:t xml:space="preserve"> </w:t>
      </w:r>
    </w:p>
    <w:p w14:paraId="103FB377" w14:textId="77777777" w:rsidR="00D70F8E" w:rsidRPr="00D70F8E" w:rsidRDefault="00D70F8E" w:rsidP="00D70F8E">
      <w:pPr>
        <w:spacing w:after="0" w:line="240" w:lineRule="auto"/>
        <w:rPr>
          <w:rFonts w:ascii="Arial" w:hAnsi="Arial" w:cs="Arial"/>
        </w:rPr>
      </w:pPr>
    </w:p>
    <w:p w14:paraId="7C205106" w14:textId="06BC7A68" w:rsidR="00D70F8E" w:rsidRDefault="006804F9" w:rsidP="00D70F8E">
      <w:pPr>
        <w:spacing w:after="0" w:line="240" w:lineRule="auto"/>
        <w:rPr>
          <w:rFonts w:ascii="Arial" w:hAnsi="Arial" w:cs="Arial"/>
        </w:rPr>
      </w:pPr>
      <w:r w:rsidRPr="006804F9">
        <w:rPr>
          <w:rFonts w:ascii="Arial" w:hAnsi="Arial" w:cs="Arial"/>
        </w:rPr>
        <w:t xml:space="preserve">The Chief Financial Officer will lead financial planning, budgeting, forecasting, reporting, treasury management, audits, and overall fiscal compliance for the organization. The role will oversee Medicaid and DDA billing, reimbursement strategies, revenue cycle management, and </w:t>
      </w:r>
      <w:r w:rsidRPr="006804F9">
        <w:rPr>
          <w:rFonts w:ascii="Arial" w:hAnsi="Arial" w:cs="Arial"/>
        </w:rPr>
        <w:lastRenderedPageBreak/>
        <w:t>grant accounting for federal, state, and county funding. The CFO will supervise the finance and billing teams, manage the IT function, and oversee key financial systems including Sage Intacct, Stampli, Paycom, and representative payee platforms. The position will also ensure compliance across the organization’s debt portfolio, including tax-exempt revenue bonds, residential mortgages, and equipment and vehicle leases.</w:t>
      </w:r>
    </w:p>
    <w:p w14:paraId="0A155C19" w14:textId="09ACBF3E" w:rsidR="00983BE5" w:rsidRDefault="00983BE5" w:rsidP="00983BE5">
      <w:pPr>
        <w:spacing w:after="0" w:line="240" w:lineRule="auto"/>
        <w:rPr>
          <w:rFonts w:ascii="Arial" w:hAnsi="Arial" w:cs="Arial"/>
        </w:rPr>
      </w:pPr>
    </w:p>
    <w:p w14:paraId="73B61201" w14:textId="4B092A2A" w:rsidR="00983BE5" w:rsidRPr="00983BE5" w:rsidRDefault="00983BE5" w:rsidP="00983BE5">
      <w:pPr>
        <w:spacing w:after="0" w:line="240" w:lineRule="auto"/>
        <w:rPr>
          <w:rFonts w:ascii="Arial" w:hAnsi="Arial" w:cs="Arial"/>
        </w:rPr>
      </w:pPr>
      <w:r w:rsidRPr="00983BE5">
        <w:rPr>
          <w:rFonts w:ascii="Arial" w:hAnsi="Arial" w:cs="Arial"/>
        </w:rPr>
        <w:t>The ideal candidate will have a bachelor’s degree in business administration or a related field and at least 10 years of progressively responsible accounting and financial management experience; an MBA, MPA, CPA, or CMA is highly preferred. Required experience includes DDA and Medicaid funding, housing-related funds, GAAP, budgeting, forecasting, financial reporting, audits, compliance, financial modeling, and systems evaluation and implementation. The successful candidate will be a hands-on, ethical, detail-oriented, and solution-oriented leader who can work independently, manage multiple priorities, and remain adaptable under pressure. Strong communication, relationship-building, organizational, and interpersonal skills are essential, along with the ability to translate complex financial information for non-financial audiences and balance strategic leadership with hands-on financial management.</w:t>
      </w:r>
    </w:p>
    <w:p w14:paraId="3A3A1213" w14:textId="77777777" w:rsidR="000B449D" w:rsidRDefault="000B449D" w:rsidP="00D70F8E">
      <w:pPr>
        <w:spacing w:after="0" w:line="240" w:lineRule="auto"/>
        <w:rPr>
          <w:rFonts w:ascii="Arial" w:hAnsi="Arial" w:cs="Arial"/>
        </w:rPr>
      </w:pPr>
    </w:p>
    <w:p w14:paraId="7D525A64" w14:textId="06A24E9C" w:rsidR="00D70F8E" w:rsidRDefault="002823DE" w:rsidP="00D70F8E">
      <w:pPr>
        <w:spacing w:after="0" w:line="240" w:lineRule="auto"/>
        <w:rPr>
          <w:rFonts w:ascii="Arial" w:hAnsi="Arial" w:cs="Arial"/>
        </w:rPr>
      </w:pPr>
      <w:r w:rsidRPr="002823DE">
        <w:rPr>
          <w:rFonts w:ascii="Arial" w:hAnsi="Arial" w:cs="Arial"/>
        </w:rPr>
        <w:t>The position offers an annual salary of $200,000–$215,000, based on education and experience, plus the opportunity for a discretionary annual bonus of up to 20% of salary tied to strategic and financial performance goals. Benefits include medical, dental and vision insurance, FSA, a 403(b) with a 2% employer match, paid leave and holidays, a hybrid schedule of three days in the office and two days remote, and negotiable relocation assistance of up to $20,000.</w:t>
      </w:r>
    </w:p>
    <w:p w14:paraId="28813878" w14:textId="77777777" w:rsidR="002823DE" w:rsidRPr="00D70F8E" w:rsidRDefault="002823DE" w:rsidP="00D70F8E">
      <w:pPr>
        <w:spacing w:after="0" w:line="240" w:lineRule="auto"/>
        <w:rPr>
          <w:rFonts w:ascii="Arial" w:hAnsi="Arial" w:cs="Arial"/>
        </w:rPr>
      </w:pPr>
    </w:p>
    <w:p w14:paraId="32AD1CF5" w14:textId="28DAC118" w:rsidR="00D70F8E" w:rsidRDefault="00D70F8E" w:rsidP="00D70F8E">
      <w:pPr>
        <w:spacing w:after="0" w:line="240" w:lineRule="auto"/>
        <w:rPr>
          <w:rFonts w:ascii="Arial" w:hAnsi="Arial" w:cs="Arial"/>
          <w:b/>
          <w:bCs/>
        </w:rPr>
      </w:pPr>
      <w:r w:rsidRPr="00D70F8E">
        <w:rPr>
          <w:rFonts w:ascii="Arial" w:hAnsi="Arial" w:cs="Arial"/>
        </w:rPr>
        <w:t>The Moran Company is conducting the search for The Arc Prince George’s County Chief Financial Officer.</w:t>
      </w:r>
      <w:r>
        <w:rPr>
          <w:rFonts w:ascii="Arial" w:hAnsi="Arial" w:cs="Arial"/>
        </w:rPr>
        <w:t xml:space="preserve"> </w:t>
      </w:r>
      <w:r w:rsidRPr="00D70F8E">
        <w:rPr>
          <w:rFonts w:ascii="Arial" w:hAnsi="Arial" w:cs="Arial"/>
        </w:rPr>
        <w:t>Questions about the position can be directed to Jamie Berry, The Moran Company; jamie (at) morancompany.com</w:t>
      </w:r>
      <w:r w:rsidR="002823DE">
        <w:rPr>
          <w:rFonts w:ascii="Arial" w:hAnsi="Arial" w:cs="Arial"/>
        </w:rPr>
        <w:t xml:space="preserve">. </w:t>
      </w:r>
      <w:r w:rsidRPr="00D70F8E">
        <w:rPr>
          <w:rFonts w:ascii="Arial" w:hAnsi="Arial" w:cs="Arial"/>
        </w:rPr>
        <w:t>To apply for this position, submit a cover letter and resume to Jamie Berry at The Moran Company, via a secure online portal.</w:t>
      </w:r>
      <w:r>
        <w:rPr>
          <w:rFonts w:ascii="Arial" w:hAnsi="Arial" w:cs="Arial"/>
        </w:rPr>
        <w:t xml:space="preserve"> </w:t>
      </w:r>
      <w:r w:rsidRPr="00D70F8E">
        <w:rPr>
          <w:rFonts w:ascii="Arial" w:hAnsi="Arial" w:cs="Arial"/>
        </w:rPr>
        <w:t>Resume should include all professional education and experience, dates of employment (month and year) and position/title and organization names.</w:t>
      </w:r>
      <w:r>
        <w:rPr>
          <w:rFonts w:ascii="Arial" w:hAnsi="Arial" w:cs="Arial"/>
        </w:rPr>
        <w:t xml:space="preserve"> </w:t>
      </w:r>
      <w:r w:rsidRPr="00D70F8E">
        <w:rPr>
          <w:rFonts w:ascii="Arial" w:hAnsi="Arial" w:cs="Arial"/>
        </w:rPr>
        <w:t>Cover letter should articulate relevant experience and fit with the stated preferences of the position.</w:t>
      </w:r>
      <w:r>
        <w:rPr>
          <w:rFonts w:ascii="Arial" w:hAnsi="Arial" w:cs="Arial"/>
        </w:rPr>
        <w:t xml:space="preserve"> </w:t>
      </w:r>
    </w:p>
    <w:p w14:paraId="709FFCA6" w14:textId="77777777" w:rsidR="00077B4C" w:rsidRDefault="00077B4C" w:rsidP="00D70F8E">
      <w:pPr>
        <w:spacing w:after="0" w:line="240" w:lineRule="auto"/>
        <w:rPr>
          <w:rFonts w:ascii="Arial" w:hAnsi="Arial" w:cs="Arial"/>
          <w:b/>
          <w:bCs/>
        </w:rPr>
      </w:pPr>
    </w:p>
    <w:p w14:paraId="253BCF71" w14:textId="4C90CCAA" w:rsidR="00077B4C" w:rsidRPr="00D70F8E" w:rsidRDefault="00077B4C" w:rsidP="00D70F8E">
      <w:pPr>
        <w:spacing w:after="0" w:line="240" w:lineRule="auto"/>
        <w:rPr>
          <w:rFonts w:ascii="Arial" w:hAnsi="Arial" w:cs="Arial"/>
        </w:rPr>
      </w:pPr>
      <w:r w:rsidRPr="009B20B9">
        <w:rPr>
          <w:rFonts w:ascii="Arial" w:hAnsi="Arial" w:cs="Arial"/>
          <w:b/>
          <w:bCs/>
        </w:rPr>
        <w:t xml:space="preserve">To view the full Position Profile and/or APPLY, click </w:t>
      </w:r>
      <w:hyperlink r:id="rId8" w:history="1">
        <w:r w:rsidRPr="003D06D6">
          <w:rPr>
            <w:rStyle w:val="Hyperlink"/>
            <w:rFonts w:ascii="Arial" w:hAnsi="Arial" w:cs="Arial"/>
            <w:b/>
            <w:bCs/>
          </w:rPr>
          <w:t>HERE</w:t>
        </w:r>
      </w:hyperlink>
    </w:p>
    <w:sectPr w:rsidR="00077B4C" w:rsidRPr="00D70F8E" w:rsidSect="00D70F8E">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42B83"/>
    <w:multiLevelType w:val="multilevel"/>
    <w:tmpl w:val="17628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377C3C"/>
    <w:multiLevelType w:val="multilevel"/>
    <w:tmpl w:val="D92C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96425F"/>
    <w:multiLevelType w:val="multilevel"/>
    <w:tmpl w:val="D3167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9A46B1"/>
    <w:multiLevelType w:val="hybridMultilevel"/>
    <w:tmpl w:val="92182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7506C34"/>
    <w:multiLevelType w:val="multilevel"/>
    <w:tmpl w:val="9C52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5B2BF9"/>
    <w:multiLevelType w:val="multilevel"/>
    <w:tmpl w:val="63E8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C1777A"/>
    <w:multiLevelType w:val="hybridMultilevel"/>
    <w:tmpl w:val="8F6C90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480EA1"/>
    <w:multiLevelType w:val="hybridMultilevel"/>
    <w:tmpl w:val="B8203D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E42A9B"/>
    <w:multiLevelType w:val="hybridMultilevel"/>
    <w:tmpl w:val="7C368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146360"/>
    <w:multiLevelType w:val="hybridMultilevel"/>
    <w:tmpl w:val="32984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B723F99"/>
    <w:multiLevelType w:val="multilevel"/>
    <w:tmpl w:val="19A07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A76321"/>
    <w:multiLevelType w:val="hybridMultilevel"/>
    <w:tmpl w:val="8AE29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332833">
    <w:abstractNumId w:val="0"/>
  </w:num>
  <w:num w:numId="2" w16cid:durableId="104152979">
    <w:abstractNumId w:val="5"/>
  </w:num>
  <w:num w:numId="3" w16cid:durableId="1596211269">
    <w:abstractNumId w:val="1"/>
  </w:num>
  <w:num w:numId="4" w16cid:durableId="1952392101">
    <w:abstractNumId w:val="10"/>
  </w:num>
  <w:num w:numId="5" w16cid:durableId="889877926">
    <w:abstractNumId w:val="4"/>
  </w:num>
  <w:num w:numId="6" w16cid:durableId="1501656565">
    <w:abstractNumId w:val="2"/>
  </w:num>
  <w:num w:numId="7" w16cid:durableId="207422049">
    <w:abstractNumId w:val="11"/>
  </w:num>
  <w:num w:numId="8" w16cid:durableId="629167888">
    <w:abstractNumId w:val="9"/>
  </w:num>
  <w:num w:numId="9" w16cid:durableId="94250637">
    <w:abstractNumId w:val="7"/>
  </w:num>
  <w:num w:numId="10" w16cid:durableId="413934131">
    <w:abstractNumId w:val="6"/>
  </w:num>
  <w:num w:numId="11" w16cid:durableId="2025744381">
    <w:abstractNumId w:val="3"/>
  </w:num>
  <w:num w:numId="12" w16cid:durableId="18506818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0F8E"/>
    <w:rsid w:val="00077B4C"/>
    <w:rsid w:val="000B449D"/>
    <w:rsid w:val="001B6535"/>
    <w:rsid w:val="002823DE"/>
    <w:rsid w:val="002E5BCC"/>
    <w:rsid w:val="003B4730"/>
    <w:rsid w:val="003D06D6"/>
    <w:rsid w:val="003F6CB6"/>
    <w:rsid w:val="004135EF"/>
    <w:rsid w:val="005E0F18"/>
    <w:rsid w:val="00603466"/>
    <w:rsid w:val="006804F9"/>
    <w:rsid w:val="006B7A4A"/>
    <w:rsid w:val="00834C19"/>
    <w:rsid w:val="0087366F"/>
    <w:rsid w:val="008D171B"/>
    <w:rsid w:val="00976408"/>
    <w:rsid w:val="00983BE5"/>
    <w:rsid w:val="009A4C81"/>
    <w:rsid w:val="00A66BB5"/>
    <w:rsid w:val="00B407D3"/>
    <w:rsid w:val="00BB3C3F"/>
    <w:rsid w:val="00D70F8E"/>
    <w:rsid w:val="00F371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338935"/>
  <w15:chartTrackingRefBased/>
  <w15:docId w15:val="{61EAFD10-8CB9-4C5A-BF18-AEC51B004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0F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0F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0F8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0F8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0F8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0F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0F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0F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0F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0F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0F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0F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0F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0F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0F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0F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0F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0F8E"/>
    <w:rPr>
      <w:rFonts w:eastAsiaTheme="majorEastAsia" w:cstheme="majorBidi"/>
      <w:color w:val="272727" w:themeColor="text1" w:themeTint="D8"/>
    </w:rPr>
  </w:style>
  <w:style w:type="paragraph" w:styleId="Title">
    <w:name w:val="Title"/>
    <w:basedOn w:val="Normal"/>
    <w:next w:val="Normal"/>
    <w:link w:val="TitleChar"/>
    <w:uiPriority w:val="10"/>
    <w:qFormat/>
    <w:rsid w:val="00D70F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0F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0F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0F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0F8E"/>
    <w:pPr>
      <w:spacing w:before="160"/>
      <w:jc w:val="center"/>
    </w:pPr>
    <w:rPr>
      <w:i/>
      <w:iCs/>
      <w:color w:val="404040" w:themeColor="text1" w:themeTint="BF"/>
    </w:rPr>
  </w:style>
  <w:style w:type="character" w:customStyle="1" w:styleId="QuoteChar">
    <w:name w:val="Quote Char"/>
    <w:basedOn w:val="DefaultParagraphFont"/>
    <w:link w:val="Quote"/>
    <w:uiPriority w:val="29"/>
    <w:rsid w:val="00D70F8E"/>
    <w:rPr>
      <w:i/>
      <w:iCs/>
      <w:color w:val="404040" w:themeColor="text1" w:themeTint="BF"/>
    </w:rPr>
  </w:style>
  <w:style w:type="paragraph" w:styleId="ListParagraph">
    <w:name w:val="List Paragraph"/>
    <w:basedOn w:val="Normal"/>
    <w:uiPriority w:val="34"/>
    <w:qFormat/>
    <w:rsid w:val="00D70F8E"/>
    <w:pPr>
      <w:ind w:left="720"/>
      <w:contextualSpacing/>
    </w:pPr>
  </w:style>
  <w:style w:type="character" w:styleId="IntenseEmphasis">
    <w:name w:val="Intense Emphasis"/>
    <w:basedOn w:val="DefaultParagraphFont"/>
    <w:uiPriority w:val="21"/>
    <w:qFormat/>
    <w:rsid w:val="00D70F8E"/>
    <w:rPr>
      <w:i/>
      <w:iCs/>
      <w:color w:val="0F4761" w:themeColor="accent1" w:themeShade="BF"/>
    </w:rPr>
  </w:style>
  <w:style w:type="paragraph" w:styleId="IntenseQuote">
    <w:name w:val="Intense Quote"/>
    <w:basedOn w:val="Normal"/>
    <w:next w:val="Normal"/>
    <w:link w:val="IntenseQuoteChar"/>
    <w:uiPriority w:val="30"/>
    <w:qFormat/>
    <w:rsid w:val="00D70F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0F8E"/>
    <w:rPr>
      <w:i/>
      <w:iCs/>
      <w:color w:val="0F4761" w:themeColor="accent1" w:themeShade="BF"/>
    </w:rPr>
  </w:style>
  <w:style w:type="character" w:styleId="IntenseReference">
    <w:name w:val="Intense Reference"/>
    <w:basedOn w:val="DefaultParagraphFont"/>
    <w:uiPriority w:val="32"/>
    <w:qFormat/>
    <w:rsid w:val="00D70F8E"/>
    <w:rPr>
      <w:b/>
      <w:bCs/>
      <w:smallCaps/>
      <w:color w:val="0F4761" w:themeColor="accent1" w:themeShade="BF"/>
      <w:spacing w:val="5"/>
    </w:rPr>
  </w:style>
  <w:style w:type="character" w:styleId="Hyperlink">
    <w:name w:val="Hyperlink"/>
    <w:basedOn w:val="DefaultParagraphFont"/>
    <w:uiPriority w:val="99"/>
    <w:unhideWhenUsed/>
    <w:rsid w:val="00D70F8E"/>
    <w:rPr>
      <w:color w:val="467886" w:themeColor="hyperlink"/>
      <w:u w:val="single"/>
    </w:rPr>
  </w:style>
  <w:style w:type="character" w:styleId="UnresolvedMention">
    <w:name w:val="Unresolved Mention"/>
    <w:basedOn w:val="DefaultParagraphFont"/>
    <w:uiPriority w:val="99"/>
    <w:semiHidden/>
    <w:unhideWhenUsed/>
    <w:rsid w:val="00D70F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morancompany.applytojob.com/apply/52wLY8Fu6c/Chief-Financial-Officer?source=MACS" TargetMode="External"/><Relationship Id="rId3" Type="http://schemas.openxmlformats.org/officeDocument/2006/relationships/settings" Target="settings.xml"/><Relationship Id="rId7" Type="http://schemas.openxmlformats.org/officeDocument/2006/relationships/hyperlink" Target="https://www.thearcofpg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orancompany.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785</Words>
  <Characters>4481</Characters>
  <Application>Microsoft Office Word</Application>
  <DocSecurity>4</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Branstetter</dc:creator>
  <cp:keywords/>
  <dc:description/>
  <cp:lastModifiedBy>Mary  Snyder</cp:lastModifiedBy>
  <cp:revision>2</cp:revision>
  <dcterms:created xsi:type="dcterms:W3CDTF">2026-10-08T14:56:00Z</dcterms:created>
  <dcterms:modified xsi:type="dcterms:W3CDTF">2026-10-08T14:56:00Z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2a1e961e-df76-4464-96e3-2b59e4301356</vt:lpwstr>
  </property>
</Properties>
</file>